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69536AC" w:rsidR="00A160B2" w:rsidRDefault="00B84A87" w:rsidP="006C3150">
            <w:pPr>
              <w:pStyle w:val="Heading1"/>
              <w:outlineLvl w:val="0"/>
            </w:pPr>
            <w:r>
              <w:t xml:space="preserve">Pension </w:t>
            </w:r>
            <w:r w:rsidR="003007D9">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F35D496" w:rsidR="00A160B2" w:rsidRDefault="00CF1C4A" w:rsidP="006C3150">
            <w:pPr>
              <w:pStyle w:val="Infotext"/>
              <w:rPr>
                <w:rFonts w:cs="Arial"/>
              </w:rPr>
            </w:pPr>
            <w:r>
              <w:rPr>
                <w:rFonts w:cs="Arial"/>
              </w:rPr>
              <w:t>1</w:t>
            </w:r>
            <w:r w:rsidR="00182849">
              <w:rPr>
                <w:rFonts w:cs="Arial"/>
              </w:rPr>
              <w:t xml:space="preserve">6 </w:t>
            </w:r>
            <w:r>
              <w:rPr>
                <w:rFonts w:cs="Arial"/>
              </w:rPr>
              <w:t>December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3A13A61" w:rsidR="00A160B2" w:rsidRDefault="00CF1C4A" w:rsidP="006C3150">
            <w:pPr>
              <w:pStyle w:val="Infotext"/>
              <w:rPr>
                <w:rFonts w:cs="Arial"/>
              </w:rPr>
            </w:pPr>
            <w:r>
              <w:rPr>
                <w:rFonts w:cs="Arial"/>
              </w:rPr>
              <w:t>Review of Fund Policies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07511B" w:rsidRDefault="00180D94" w:rsidP="006C3150">
            <w:pPr>
              <w:pStyle w:val="Infotext"/>
              <w:rPr>
                <w:bCs/>
              </w:rPr>
            </w:pPr>
            <w:r w:rsidRPr="0007511B">
              <w:rPr>
                <w:bCs/>
              </w:rPr>
              <w:t>No</w:t>
            </w:r>
            <w:r w:rsidR="00A80313" w:rsidRPr="0007511B">
              <w:rPr>
                <w:bCs/>
              </w:rPr>
              <w:t>t applicable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583DC1A2" w14:textId="0327FD5D" w:rsidR="00EA182B" w:rsidRDefault="00EA182B" w:rsidP="00D56DE2">
            <w:pPr>
              <w:rPr>
                <w:sz w:val="28"/>
                <w:szCs w:val="28"/>
              </w:rPr>
            </w:pPr>
            <w:r>
              <w:rPr>
                <w:sz w:val="28"/>
                <w:szCs w:val="28"/>
              </w:rPr>
              <w:t xml:space="preserve">Appendix </w:t>
            </w:r>
            <w:r w:rsidR="00464CE5">
              <w:rPr>
                <w:sz w:val="28"/>
                <w:szCs w:val="28"/>
              </w:rPr>
              <w:t>1</w:t>
            </w:r>
            <w:r>
              <w:rPr>
                <w:sz w:val="28"/>
                <w:szCs w:val="28"/>
              </w:rPr>
              <w:t xml:space="preserve"> – Draft Conflicts of Interest Policy</w:t>
            </w:r>
            <w:r w:rsidR="0007511B">
              <w:rPr>
                <w:sz w:val="28"/>
                <w:szCs w:val="28"/>
              </w:rPr>
              <w:t>;</w:t>
            </w:r>
          </w:p>
          <w:p w14:paraId="4C232B02" w14:textId="3A8FD539" w:rsidR="00D56DE2" w:rsidRPr="00E16F4A" w:rsidRDefault="00EA182B" w:rsidP="00D56DE2">
            <w:pPr>
              <w:rPr>
                <w:sz w:val="28"/>
                <w:szCs w:val="28"/>
              </w:rPr>
            </w:pPr>
            <w:r>
              <w:rPr>
                <w:sz w:val="28"/>
                <w:szCs w:val="28"/>
              </w:rPr>
              <w:t xml:space="preserve">Appendix </w:t>
            </w:r>
            <w:r w:rsidR="00464CE5">
              <w:rPr>
                <w:sz w:val="28"/>
                <w:szCs w:val="28"/>
              </w:rPr>
              <w:t>2</w:t>
            </w:r>
            <w:r>
              <w:rPr>
                <w:sz w:val="28"/>
                <w:szCs w:val="28"/>
              </w:rPr>
              <w:t xml:space="preserve"> – Draft Breaches Policy </w:t>
            </w:r>
            <w:r w:rsidR="00310B8D" w:rsidRPr="00E16F4A">
              <w:rPr>
                <w:sz w:val="28"/>
                <w:szCs w:val="28"/>
              </w:rPr>
              <w:t xml:space="preserve"> </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2CCE24E0" w14:textId="77777777" w:rsidR="0007511B" w:rsidRDefault="0007511B" w:rsidP="00912904">
            <w:pPr>
              <w:pStyle w:val="Heading2"/>
              <w:spacing w:before="240" w:after="240"/>
            </w:pPr>
          </w:p>
          <w:p w14:paraId="47AF8288" w14:textId="302F975A"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0F20742A" w:rsidR="00E2344F" w:rsidRPr="001E6E68" w:rsidRDefault="00CF1C4A" w:rsidP="00E2344F">
            <w:pPr>
              <w:jc w:val="both"/>
              <w:rPr>
                <w:rFonts w:cs="Arial"/>
                <w:szCs w:val="24"/>
              </w:rPr>
            </w:pPr>
            <w:r>
              <w:rPr>
                <w:rFonts w:cs="Arial"/>
                <w:szCs w:val="24"/>
                <w:lang w:eastAsia="en-GB"/>
              </w:rPr>
              <w:t xml:space="preserve">This report brings two Fund Policies for review as part of the steps required to </w:t>
            </w:r>
            <w:r w:rsidR="00D56DE2">
              <w:rPr>
                <w:rFonts w:cs="Arial"/>
                <w:szCs w:val="24"/>
                <w:lang w:eastAsia="en-GB"/>
              </w:rPr>
              <w:t>ensure that the Fund is ready for the implementation of the Good Governance Review in 2022</w:t>
            </w:r>
            <w:r w:rsidR="00922249">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1DE24585" w14:textId="77777777" w:rsidR="0007511B" w:rsidRDefault="00E2344F" w:rsidP="00E2344F">
            <w:pPr>
              <w:rPr>
                <w:szCs w:val="24"/>
              </w:rPr>
            </w:pPr>
            <w:r w:rsidRPr="00CF1C4A">
              <w:rPr>
                <w:szCs w:val="24"/>
              </w:rPr>
              <w:t xml:space="preserve">The </w:t>
            </w:r>
            <w:r w:rsidR="003007D9" w:rsidRPr="00CF1C4A">
              <w:rPr>
                <w:szCs w:val="24"/>
              </w:rPr>
              <w:t>Board</w:t>
            </w:r>
            <w:r w:rsidRPr="00CF1C4A">
              <w:rPr>
                <w:szCs w:val="24"/>
              </w:rPr>
              <w:t xml:space="preserve"> is recommended </w:t>
            </w:r>
            <w:r w:rsidR="00922249" w:rsidRPr="00CF1C4A">
              <w:rPr>
                <w:szCs w:val="24"/>
              </w:rPr>
              <w:t>to</w:t>
            </w:r>
            <w:r w:rsidR="0007511B">
              <w:rPr>
                <w:szCs w:val="24"/>
              </w:rPr>
              <w:t>:</w:t>
            </w:r>
          </w:p>
          <w:p w14:paraId="2688E4F6" w14:textId="17792738" w:rsidR="00CF1C4A" w:rsidRPr="00CF1C4A" w:rsidRDefault="00922249" w:rsidP="00E2344F">
            <w:pPr>
              <w:rPr>
                <w:szCs w:val="24"/>
              </w:rPr>
            </w:pPr>
            <w:r w:rsidRPr="00CF1C4A">
              <w:rPr>
                <w:szCs w:val="24"/>
              </w:rPr>
              <w:t xml:space="preserve"> </w:t>
            </w:r>
          </w:p>
          <w:p w14:paraId="30F15E43" w14:textId="3F083BEE" w:rsidR="00CF1C4A" w:rsidRPr="00CF1C4A" w:rsidRDefault="0007511B" w:rsidP="00CF1C4A">
            <w:pPr>
              <w:pStyle w:val="ListParagraph"/>
              <w:numPr>
                <w:ilvl w:val="0"/>
                <w:numId w:val="23"/>
              </w:numPr>
              <w:rPr>
                <w:sz w:val="24"/>
                <w:szCs w:val="24"/>
              </w:rPr>
            </w:pPr>
            <w:r>
              <w:rPr>
                <w:sz w:val="24"/>
                <w:szCs w:val="24"/>
              </w:rPr>
              <w:t>N</w:t>
            </w:r>
            <w:r w:rsidR="003007D9" w:rsidRPr="00CF1C4A">
              <w:rPr>
                <w:sz w:val="24"/>
                <w:szCs w:val="24"/>
              </w:rPr>
              <w:t>ote the report</w:t>
            </w:r>
            <w:r>
              <w:rPr>
                <w:sz w:val="24"/>
                <w:szCs w:val="24"/>
              </w:rPr>
              <w:t>; and</w:t>
            </w:r>
          </w:p>
          <w:p w14:paraId="15BE2CF8" w14:textId="7584C2D9" w:rsidR="00CF1C4A" w:rsidRPr="00CF1C4A" w:rsidRDefault="0007511B" w:rsidP="00CF1C4A">
            <w:pPr>
              <w:pStyle w:val="ListParagraph"/>
              <w:numPr>
                <w:ilvl w:val="0"/>
                <w:numId w:val="23"/>
              </w:numPr>
              <w:rPr>
                <w:sz w:val="24"/>
                <w:szCs w:val="24"/>
              </w:rPr>
            </w:pPr>
            <w:r>
              <w:rPr>
                <w:sz w:val="24"/>
                <w:szCs w:val="24"/>
              </w:rPr>
              <w:t>C</w:t>
            </w:r>
            <w:r w:rsidR="00CF1C4A" w:rsidRPr="00CF1C4A">
              <w:rPr>
                <w:sz w:val="24"/>
                <w:szCs w:val="24"/>
              </w:rPr>
              <w:t>onsider and make recommendations to the Pension Fund Committee in respect of</w:t>
            </w:r>
            <w:r>
              <w:rPr>
                <w:sz w:val="24"/>
                <w:szCs w:val="24"/>
              </w:rPr>
              <w:t>:</w:t>
            </w:r>
          </w:p>
          <w:p w14:paraId="39BFA29D" w14:textId="02D8A37D" w:rsidR="00CF1C4A" w:rsidRPr="00CF1C4A" w:rsidRDefault="00CF1C4A" w:rsidP="00CF1C4A">
            <w:pPr>
              <w:pStyle w:val="ListParagraph"/>
              <w:numPr>
                <w:ilvl w:val="0"/>
                <w:numId w:val="24"/>
              </w:numPr>
              <w:rPr>
                <w:sz w:val="24"/>
                <w:szCs w:val="24"/>
              </w:rPr>
            </w:pPr>
            <w:r w:rsidRPr="00CF1C4A">
              <w:rPr>
                <w:sz w:val="24"/>
                <w:szCs w:val="24"/>
              </w:rPr>
              <w:t xml:space="preserve">the Conflicts of Interest Policy and  </w:t>
            </w:r>
          </w:p>
          <w:p w14:paraId="714CBDEE" w14:textId="5F79729A" w:rsidR="00A160B2" w:rsidRDefault="00CF1C4A" w:rsidP="00CF1C4A">
            <w:pPr>
              <w:pStyle w:val="ListParagraph"/>
              <w:numPr>
                <w:ilvl w:val="0"/>
                <w:numId w:val="24"/>
              </w:numPr>
            </w:pPr>
            <w:r w:rsidRPr="00CF1C4A">
              <w:rPr>
                <w:sz w:val="24"/>
                <w:szCs w:val="24"/>
              </w:rPr>
              <w:t>the Breaches policy</w:t>
            </w:r>
            <w:r w:rsidR="00E16F4A">
              <w:t>.</w:t>
            </w:r>
            <w:r w:rsidR="00A160B2">
              <w:t xml:space="preserve">  </w:t>
            </w:r>
          </w:p>
        </w:tc>
      </w:tr>
    </w:tbl>
    <w:p w14:paraId="40FFE2B5" w14:textId="77777777" w:rsidR="0007511B" w:rsidRDefault="0007511B" w:rsidP="00A160B2">
      <w:pPr>
        <w:pStyle w:val="Heading2"/>
      </w:pPr>
    </w:p>
    <w:p w14:paraId="53DC7DE2" w14:textId="0133F30D" w:rsidR="002A2389" w:rsidRDefault="002A2389" w:rsidP="00A160B2">
      <w:pPr>
        <w:pStyle w:val="Heading2"/>
      </w:pPr>
      <w:r>
        <w:lastRenderedPageBreak/>
        <w:t>Section 2 – Report</w:t>
      </w:r>
    </w:p>
    <w:p w14:paraId="1911551C" w14:textId="77777777" w:rsidR="00E2344F" w:rsidRPr="00E2344F" w:rsidRDefault="00E2344F" w:rsidP="00E2344F"/>
    <w:p w14:paraId="7C3112C8" w14:textId="099F8E51" w:rsidR="003007D9" w:rsidRDefault="00497308" w:rsidP="008306D5">
      <w:pPr>
        <w:numPr>
          <w:ilvl w:val="0"/>
          <w:numId w:val="16"/>
        </w:numPr>
        <w:tabs>
          <w:tab w:val="clear" w:pos="584"/>
        </w:tabs>
        <w:ind w:left="284" w:hanging="284"/>
        <w:jc w:val="both"/>
      </w:pPr>
      <w:bookmarkStart w:id="0" w:name="_Hlk74148209"/>
      <w:r w:rsidRPr="00497308">
        <w:t>The LGPS “Good Governance Review”</w:t>
      </w:r>
      <w:r w:rsidR="008306D5" w:rsidRPr="00497308">
        <w:t xml:space="preserve"> </w:t>
      </w:r>
      <w:r>
        <w:t xml:space="preserve">began in 2019. Its implementation </w:t>
      </w:r>
      <w:r w:rsidR="00CF1C4A">
        <w:t>was</w:t>
      </w:r>
      <w:r>
        <w:t xml:space="preserve"> delayed by the Covid-19 pandemic, but earlier in 2021 the LGPS Scheme Advisory Board </w:t>
      </w:r>
      <w:r w:rsidR="003007D9">
        <w:t xml:space="preserve">(SAB) </w:t>
      </w:r>
      <w:r>
        <w:t>published a Phase 3 Report – this is now with the Government (</w:t>
      </w:r>
      <w:r w:rsidR="00CF1C4A">
        <w:t>DLUHC</w:t>
      </w:r>
      <w:r>
        <w:t xml:space="preserve">) for implementation. Before the </w:t>
      </w:r>
      <w:r w:rsidR="003007D9">
        <w:t xml:space="preserve">Pension Fund </w:t>
      </w:r>
      <w:r>
        <w:t>Committee’s meeting</w:t>
      </w:r>
      <w:r w:rsidR="003007D9">
        <w:t xml:space="preserve"> on 24</w:t>
      </w:r>
      <w:r w:rsidR="003007D9" w:rsidRPr="003007D9">
        <w:rPr>
          <w:vertAlign w:val="superscript"/>
        </w:rPr>
        <w:t>th</w:t>
      </w:r>
      <w:r w:rsidR="003007D9">
        <w:t xml:space="preserve"> June 2021</w:t>
      </w:r>
      <w:r>
        <w:t xml:space="preserve">, Ian Colvin of Hymans Robertson (who as well as being the Harrow Fund’s actuaries, also advised the SAB during the Review). </w:t>
      </w:r>
      <w:r w:rsidR="008306D5" w:rsidRPr="00497308">
        <w:t xml:space="preserve"> </w:t>
      </w:r>
      <w:r>
        <w:t xml:space="preserve">In that session the Committee was advised of the key issues arising from the Review. </w:t>
      </w:r>
      <w:bookmarkStart w:id="1" w:name="_Hlk81313652"/>
    </w:p>
    <w:p w14:paraId="04C44B2C" w14:textId="77777777" w:rsidR="003007D9" w:rsidRDefault="003007D9" w:rsidP="003007D9">
      <w:pPr>
        <w:ind w:left="284"/>
        <w:jc w:val="both"/>
      </w:pPr>
    </w:p>
    <w:p w14:paraId="0D3EA30F" w14:textId="108E42F7" w:rsidR="008306D5" w:rsidRDefault="003007D9" w:rsidP="008306D5">
      <w:pPr>
        <w:numPr>
          <w:ilvl w:val="0"/>
          <w:numId w:val="16"/>
        </w:numPr>
        <w:tabs>
          <w:tab w:val="clear" w:pos="584"/>
        </w:tabs>
        <w:ind w:left="284" w:hanging="284"/>
        <w:jc w:val="both"/>
      </w:pPr>
      <w:r>
        <w:t>At its meeting on 13</w:t>
      </w:r>
      <w:r w:rsidRPr="003007D9">
        <w:rPr>
          <w:vertAlign w:val="superscript"/>
        </w:rPr>
        <w:t>th</w:t>
      </w:r>
      <w:r>
        <w:t xml:space="preserve"> September 2021, the Committee considered and approved the</w:t>
      </w:r>
      <w:r w:rsidR="00497308">
        <w:t xml:space="preserve"> proposed approach to ensuring that Harrow is ready for the </w:t>
      </w:r>
      <w:r w:rsidR="00964ADC">
        <w:t>Review’s implementation in 2022.</w:t>
      </w:r>
      <w:bookmarkEnd w:id="1"/>
      <w:r w:rsidR="00CF1C4A">
        <w:t xml:space="preserve"> It approved the recommended approach that the Pension Board be asked to review the drafts and comment / make recommendations to the Committee regarding the adoption of the policies. </w:t>
      </w:r>
    </w:p>
    <w:p w14:paraId="783B71CD" w14:textId="77777777" w:rsidR="00CF1C4A" w:rsidRDefault="00CF1C4A" w:rsidP="00CF1C4A">
      <w:pPr>
        <w:pStyle w:val="ListParagraph"/>
      </w:pPr>
    </w:p>
    <w:p w14:paraId="217021C2" w14:textId="431B304B" w:rsidR="00CF1C4A" w:rsidRDefault="00CF1C4A" w:rsidP="00CF1C4A">
      <w:pPr>
        <w:numPr>
          <w:ilvl w:val="0"/>
          <w:numId w:val="16"/>
        </w:numPr>
        <w:tabs>
          <w:tab w:val="clear" w:pos="584"/>
        </w:tabs>
        <w:ind w:left="284" w:hanging="284"/>
        <w:jc w:val="both"/>
      </w:pPr>
      <w:r>
        <w:t>Attached to this report are two draft policies for consideration and comment, as follows:</w:t>
      </w:r>
    </w:p>
    <w:p w14:paraId="6F8376C4" w14:textId="78214A44" w:rsidR="00CF1C4A" w:rsidRPr="00CF1C4A" w:rsidRDefault="00CF1C4A" w:rsidP="00CF1C4A">
      <w:pPr>
        <w:pStyle w:val="ListParagraph"/>
        <w:numPr>
          <w:ilvl w:val="0"/>
          <w:numId w:val="25"/>
        </w:numPr>
        <w:jc w:val="both"/>
        <w:rPr>
          <w:sz w:val="24"/>
          <w:szCs w:val="24"/>
        </w:rPr>
      </w:pPr>
      <w:r w:rsidRPr="00CF1C4A">
        <w:rPr>
          <w:sz w:val="24"/>
          <w:szCs w:val="24"/>
        </w:rPr>
        <w:t xml:space="preserve">Conflicts of Interest – Appendix </w:t>
      </w:r>
      <w:r w:rsidR="00464CE5">
        <w:rPr>
          <w:sz w:val="24"/>
          <w:szCs w:val="24"/>
        </w:rPr>
        <w:t>1</w:t>
      </w:r>
    </w:p>
    <w:p w14:paraId="219DDB6C" w14:textId="7F6D00DB" w:rsidR="00CF1C4A" w:rsidRPr="00CF1C4A" w:rsidRDefault="00CF1C4A" w:rsidP="00CF1C4A">
      <w:pPr>
        <w:pStyle w:val="ListParagraph"/>
        <w:numPr>
          <w:ilvl w:val="0"/>
          <w:numId w:val="25"/>
        </w:numPr>
        <w:jc w:val="both"/>
        <w:rPr>
          <w:sz w:val="24"/>
          <w:szCs w:val="24"/>
        </w:rPr>
      </w:pPr>
      <w:r w:rsidRPr="00CF1C4A">
        <w:rPr>
          <w:sz w:val="24"/>
          <w:szCs w:val="24"/>
        </w:rPr>
        <w:t xml:space="preserve">Breaches – Appendix </w:t>
      </w:r>
      <w:r w:rsidR="00464CE5">
        <w:rPr>
          <w:sz w:val="24"/>
          <w:szCs w:val="24"/>
        </w:rPr>
        <w:t>2</w:t>
      </w:r>
      <w:r w:rsidRPr="00CF1C4A">
        <w:rPr>
          <w:sz w:val="24"/>
          <w:szCs w:val="24"/>
        </w:rPr>
        <w:t xml:space="preserve"> </w:t>
      </w:r>
    </w:p>
    <w:p w14:paraId="44556866" w14:textId="77777777" w:rsidR="00CF1C4A" w:rsidRDefault="00CF1C4A" w:rsidP="00CF1C4A">
      <w:pPr>
        <w:ind w:left="284"/>
      </w:pPr>
    </w:p>
    <w:p w14:paraId="46444662" w14:textId="09AB1B03" w:rsidR="00CF1C4A" w:rsidRDefault="00CF1C4A" w:rsidP="00D92107">
      <w:pPr>
        <w:numPr>
          <w:ilvl w:val="0"/>
          <w:numId w:val="16"/>
        </w:numPr>
        <w:tabs>
          <w:tab w:val="clear" w:pos="584"/>
        </w:tabs>
        <w:ind w:left="284" w:hanging="284"/>
        <w:jc w:val="both"/>
      </w:pPr>
      <w:r>
        <w:t>As previously agreed, these are based upon template</w:t>
      </w:r>
      <w:r w:rsidR="00D92107">
        <w:t xml:space="preserve"> policie</w:t>
      </w:r>
      <w:r>
        <w:t xml:space="preserve">s produced by Hymans Robertson, and incorporating specific good practice as appropriate from other LGPS Funds. A brief summary of each is </w:t>
      </w:r>
      <w:r w:rsidR="00D54D7D">
        <w:t>i</w:t>
      </w:r>
      <w:r>
        <w:t>ncluded below.</w:t>
      </w:r>
    </w:p>
    <w:p w14:paraId="3EE3BD08" w14:textId="41D7BAC4" w:rsidR="00CF1C4A" w:rsidRDefault="00CF1C4A" w:rsidP="00CF1C4A">
      <w:pPr>
        <w:jc w:val="both"/>
      </w:pPr>
    </w:p>
    <w:p w14:paraId="0C24C966" w14:textId="043C1800" w:rsidR="00CF1C4A" w:rsidRPr="00EA182B" w:rsidRDefault="00CF1C4A" w:rsidP="00CF1C4A">
      <w:pPr>
        <w:jc w:val="both"/>
        <w:rPr>
          <w:b/>
          <w:bCs/>
        </w:rPr>
      </w:pPr>
      <w:r w:rsidRPr="00EA182B">
        <w:rPr>
          <w:b/>
          <w:bCs/>
        </w:rPr>
        <w:t xml:space="preserve">Conflicts </w:t>
      </w:r>
      <w:r w:rsidR="00EA182B" w:rsidRPr="00EA182B">
        <w:rPr>
          <w:b/>
          <w:bCs/>
        </w:rPr>
        <w:t>of Interest Policy</w:t>
      </w:r>
    </w:p>
    <w:p w14:paraId="6FE68D6E" w14:textId="77777777" w:rsidR="007808A7" w:rsidRPr="001B3228" w:rsidRDefault="007808A7" w:rsidP="007808A7">
      <w:pPr>
        <w:ind w:left="284"/>
        <w:jc w:val="both"/>
        <w:rPr>
          <w:highlight w:val="yellow"/>
        </w:rPr>
      </w:pPr>
    </w:p>
    <w:p w14:paraId="1D00086E" w14:textId="09CA68CE" w:rsidR="001B1046" w:rsidRDefault="00D54D7D" w:rsidP="00E2344F">
      <w:pPr>
        <w:numPr>
          <w:ilvl w:val="0"/>
          <w:numId w:val="16"/>
        </w:numPr>
        <w:tabs>
          <w:tab w:val="clear" w:pos="584"/>
          <w:tab w:val="num" w:pos="284"/>
        </w:tabs>
        <w:ind w:left="284" w:hanging="284"/>
        <w:jc w:val="both"/>
      </w:pPr>
      <w:r>
        <w:t>This Policy</w:t>
      </w:r>
      <w:r w:rsidR="00FF677E">
        <w:t xml:space="preserve"> sets out the definitions of a conflict of interest</w:t>
      </w:r>
      <w:r w:rsidR="00F136E9">
        <w:t xml:space="preserve">, </w:t>
      </w:r>
      <w:r w:rsidR="00D92107">
        <w:t xml:space="preserve">the situations where conflicts may arise </w:t>
      </w:r>
      <w:r w:rsidR="00F136E9">
        <w:t xml:space="preserve">and the principles which will be applied in managing those appropriately. </w:t>
      </w:r>
      <w:r w:rsidR="001B1046">
        <w:t xml:space="preserve"> </w:t>
      </w:r>
    </w:p>
    <w:p w14:paraId="78D6C65E" w14:textId="77777777" w:rsidR="00EA182B" w:rsidRDefault="00EA182B" w:rsidP="00EA182B">
      <w:pPr>
        <w:ind w:left="284"/>
        <w:jc w:val="both"/>
      </w:pPr>
    </w:p>
    <w:p w14:paraId="0DE9D265" w14:textId="7E6B3FB3" w:rsidR="00EA182B" w:rsidRDefault="00F136E9" w:rsidP="00E2344F">
      <w:pPr>
        <w:numPr>
          <w:ilvl w:val="0"/>
          <w:numId w:val="16"/>
        </w:numPr>
        <w:tabs>
          <w:tab w:val="clear" w:pos="584"/>
          <w:tab w:val="num" w:pos="284"/>
        </w:tabs>
        <w:ind w:left="284" w:hanging="284"/>
        <w:jc w:val="both"/>
      </w:pPr>
      <w:r>
        <w:t xml:space="preserve">Clearly the largest potential conflict arises because of the Council’s dual role as the administering authority for the LBH Pension Fund, and as the local authority for the area. This is common for most LGPS administering authorities, and the relevant officers are aware of this and act appropriately. </w:t>
      </w:r>
    </w:p>
    <w:p w14:paraId="2578C6A8" w14:textId="77777777" w:rsidR="00EA182B" w:rsidRDefault="00EA182B" w:rsidP="00EA182B">
      <w:pPr>
        <w:ind w:left="284"/>
        <w:jc w:val="both"/>
      </w:pPr>
    </w:p>
    <w:p w14:paraId="0601A4F2" w14:textId="4282E9C5" w:rsidR="00EA182B" w:rsidRPr="00EA182B" w:rsidRDefault="00EA182B" w:rsidP="00EA182B">
      <w:pPr>
        <w:jc w:val="both"/>
        <w:rPr>
          <w:b/>
          <w:bCs/>
        </w:rPr>
      </w:pPr>
      <w:r w:rsidRPr="00EA182B">
        <w:rPr>
          <w:b/>
          <w:bCs/>
        </w:rPr>
        <w:t xml:space="preserve">Breaches Policy </w:t>
      </w:r>
    </w:p>
    <w:p w14:paraId="112F00DB" w14:textId="77777777" w:rsidR="001B1046" w:rsidRDefault="001B1046" w:rsidP="001B1046">
      <w:pPr>
        <w:ind w:left="284"/>
        <w:jc w:val="both"/>
      </w:pPr>
    </w:p>
    <w:p w14:paraId="5628E1B1" w14:textId="79673929" w:rsidR="00621EA4" w:rsidRDefault="00182849" w:rsidP="001C449F">
      <w:pPr>
        <w:numPr>
          <w:ilvl w:val="0"/>
          <w:numId w:val="16"/>
        </w:numPr>
        <w:tabs>
          <w:tab w:val="clear" w:pos="584"/>
          <w:tab w:val="num" w:pos="284"/>
        </w:tabs>
        <w:ind w:left="284" w:hanging="284"/>
        <w:jc w:val="both"/>
      </w:pPr>
      <w:r w:rsidRPr="00182849">
        <w:t>T</w:t>
      </w:r>
      <w:r w:rsidR="00310B8D" w:rsidRPr="00182849">
        <w:t>h</w:t>
      </w:r>
      <w:r w:rsidR="00D54D7D">
        <w:t xml:space="preserve">is policy </w:t>
      </w:r>
      <w:r w:rsidR="00621EA4">
        <w:t xml:space="preserve">sets out the approach to recording and managing breaches of the law, the LGPS Regulations or the Pension Regulator’s Code of Practice. </w:t>
      </w:r>
    </w:p>
    <w:p w14:paraId="0808CF63" w14:textId="77777777" w:rsidR="00621EA4" w:rsidRDefault="00621EA4" w:rsidP="00621EA4">
      <w:pPr>
        <w:ind w:left="284"/>
        <w:jc w:val="both"/>
      </w:pPr>
    </w:p>
    <w:p w14:paraId="6CDB4112" w14:textId="0D95BD9A" w:rsidR="00EA182B" w:rsidRDefault="00621EA4" w:rsidP="00621EA4">
      <w:pPr>
        <w:numPr>
          <w:ilvl w:val="0"/>
          <w:numId w:val="16"/>
        </w:numPr>
        <w:tabs>
          <w:tab w:val="clear" w:pos="584"/>
          <w:tab w:val="num" w:pos="284"/>
        </w:tabs>
        <w:ind w:left="284" w:hanging="284"/>
        <w:jc w:val="both"/>
      </w:pPr>
      <w:r>
        <w:t xml:space="preserve">A key aspect of the process is the assessment of </w:t>
      </w:r>
      <w:proofErr w:type="gramStart"/>
      <w:r>
        <w:t>whether or not</w:t>
      </w:r>
      <w:proofErr w:type="gramEnd"/>
      <w:r>
        <w:t xml:space="preserve"> the breach is a material one which requires reporting to the Regulator rather than simply recording internally.</w:t>
      </w:r>
      <w:r w:rsidR="001C449F" w:rsidRPr="00182849">
        <w:t xml:space="preserve"> </w:t>
      </w:r>
      <w:r w:rsidR="00013E4E" w:rsidRPr="00182849">
        <w:t xml:space="preserve"> </w:t>
      </w:r>
      <w:bookmarkEnd w:id="0"/>
      <w:r>
        <w:t xml:space="preserve">As an example, if an employer was one or two days late in submitting data on a one-off occasion and had notified LBH of the delay and the reasons for it, this would not be considered material and would simply be recorded in the breaches log. By contrast, if the delay continued for an extended period, the employer failed to respond to enquiries and the delay impacted on a key task such as the issue of annual benefit statements this could be considered material and require onward reporting. </w:t>
      </w:r>
    </w:p>
    <w:p w14:paraId="084461C6" w14:textId="77777777" w:rsidR="00EA182B" w:rsidRDefault="00EA182B" w:rsidP="00EA182B">
      <w:pPr>
        <w:ind w:left="284"/>
        <w:jc w:val="both"/>
      </w:pPr>
    </w:p>
    <w:p w14:paraId="70C4BCAA" w14:textId="616EA6CF" w:rsidR="00EA182B" w:rsidRPr="00EA182B" w:rsidRDefault="00EA182B" w:rsidP="00EA182B">
      <w:pPr>
        <w:jc w:val="both"/>
        <w:rPr>
          <w:b/>
          <w:bCs/>
        </w:rPr>
      </w:pPr>
      <w:r w:rsidRPr="00EA182B">
        <w:rPr>
          <w:b/>
          <w:bCs/>
        </w:rPr>
        <w:lastRenderedPageBreak/>
        <w:t>Next steps</w:t>
      </w:r>
    </w:p>
    <w:p w14:paraId="2F934F21" w14:textId="77777777" w:rsidR="00310B8D" w:rsidRDefault="00310B8D" w:rsidP="00310B8D">
      <w:pPr>
        <w:pStyle w:val="ListParagraph"/>
      </w:pPr>
    </w:p>
    <w:p w14:paraId="61A626C5" w14:textId="1E1AFA7A" w:rsidR="00EA182B" w:rsidRDefault="00EA182B" w:rsidP="00EA182B">
      <w:pPr>
        <w:numPr>
          <w:ilvl w:val="0"/>
          <w:numId w:val="16"/>
        </w:numPr>
        <w:tabs>
          <w:tab w:val="clear" w:pos="584"/>
          <w:tab w:val="num" w:pos="284"/>
        </w:tabs>
        <w:ind w:left="284" w:hanging="284"/>
        <w:jc w:val="both"/>
      </w:pPr>
      <w:r>
        <w:t>As indicated at the Board’s last meeting, further policies will be brought to the Board’s next meeting in March 2022 as follows:</w:t>
      </w:r>
    </w:p>
    <w:p w14:paraId="757B452A" w14:textId="5CBF0061" w:rsidR="00EA182B" w:rsidRPr="00EA182B" w:rsidRDefault="00EA182B" w:rsidP="00EA182B">
      <w:pPr>
        <w:pStyle w:val="ListParagraph"/>
        <w:numPr>
          <w:ilvl w:val="0"/>
          <w:numId w:val="26"/>
        </w:numPr>
        <w:jc w:val="both"/>
        <w:rPr>
          <w:sz w:val="24"/>
          <w:szCs w:val="24"/>
        </w:rPr>
      </w:pPr>
      <w:r w:rsidRPr="00EA182B">
        <w:rPr>
          <w:sz w:val="24"/>
          <w:szCs w:val="24"/>
        </w:rPr>
        <w:t>Administration Strategy</w:t>
      </w:r>
    </w:p>
    <w:p w14:paraId="267E6DA5" w14:textId="25DF5E5B" w:rsidR="00EA182B" w:rsidRPr="00EA182B" w:rsidRDefault="00EA182B" w:rsidP="00EA182B">
      <w:pPr>
        <w:pStyle w:val="ListParagraph"/>
        <w:numPr>
          <w:ilvl w:val="0"/>
          <w:numId w:val="26"/>
        </w:numPr>
        <w:jc w:val="both"/>
        <w:rPr>
          <w:sz w:val="24"/>
          <w:szCs w:val="24"/>
        </w:rPr>
      </w:pPr>
      <w:r w:rsidRPr="00EA182B">
        <w:rPr>
          <w:sz w:val="24"/>
          <w:szCs w:val="24"/>
        </w:rPr>
        <w:t>Training strategy</w:t>
      </w:r>
    </w:p>
    <w:p w14:paraId="0533806F" w14:textId="78007861" w:rsidR="00EA182B" w:rsidRPr="00EA182B" w:rsidRDefault="00EA182B" w:rsidP="00EA182B">
      <w:pPr>
        <w:pStyle w:val="ListParagraph"/>
        <w:numPr>
          <w:ilvl w:val="0"/>
          <w:numId w:val="26"/>
        </w:numPr>
        <w:jc w:val="both"/>
        <w:rPr>
          <w:sz w:val="24"/>
          <w:szCs w:val="24"/>
        </w:rPr>
      </w:pPr>
      <w:r w:rsidRPr="00EA182B">
        <w:rPr>
          <w:sz w:val="24"/>
          <w:szCs w:val="24"/>
        </w:rPr>
        <w:t>Representations Policy</w:t>
      </w:r>
    </w:p>
    <w:p w14:paraId="45172437" w14:textId="74712C82" w:rsidR="00EA182B" w:rsidRPr="00EA182B" w:rsidRDefault="00EA182B" w:rsidP="00EA182B">
      <w:pPr>
        <w:pStyle w:val="ListParagraph"/>
        <w:numPr>
          <w:ilvl w:val="0"/>
          <w:numId w:val="26"/>
        </w:numPr>
        <w:jc w:val="both"/>
        <w:rPr>
          <w:sz w:val="24"/>
          <w:szCs w:val="24"/>
        </w:rPr>
      </w:pPr>
      <w:r w:rsidRPr="00EA182B">
        <w:rPr>
          <w:sz w:val="24"/>
          <w:szCs w:val="24"/>
        </w:rPr>
        <w:t>Fund Discretions Policy</w:t>
      </w:r>
    </w:p>
    <w:p w14:paraId="34C5734F" w14:textId="7FE7032D" w:rsidR="00EA182B" w:rsidRDefault="00D54D7D" w:rsidP="00EA182B">
      <w:pPr>
        <w:ind w:left="284"/>
        <w:jc w:val="both"/>
      </w:pPr>
      <w:r>
        <w:t>T</w:t>
      </w:r>
      <w:r w:rsidR="00EA182B">
        <w:t xml:space="preserve">he Board will be asked to comment on these and make recommendations as appropriate to the Pension Fund Committee. </w:t>
      </w:r>
    </w:p>
    <w:p w14:paraId="3469E0D9" w14:textId="621B169D" w:rsidR="00213BE7" w:rsidRDefault="00213BE7" w:rsidP="00213BE7">
      <w:pPr>
        <w:pStyle w:val="Heading2"/>
      </w:pPr>
      <w:r w:rsidRPr="00182849">
        <w:t>Legal Implications</w:t>
      </w:r>
    </w:p>
    <w:p w14:paraId="443F8251" w14:textId="53772BE0" w:rsidR="00180D94" w:rsidRDefault="00180D94" w:rsidP="00180D94"/>
    <w:p w14:paraId="75D7E075" w14:textId="7148EE21" w:rsid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w:t>
      </w:r>
    </w:p>
    <w:p w14:paraId="15E462CC" w14:textId="77777777" w:rsidR="00EA182B" w:rsidRDefault="00EA182B" w:rsidP="00EA182B">
      <w:pPr>
        <w:pStyle w:val="ListParagraph"/>
        <w:ind w:left="584"/>
        <w:rPr>
          <w:sz w:val="24"/>
          <w:szCs w:val="24"/>
        </w:rPr>
      </w:pPr>
    </w:p>
    <w:p w14:paraId="20FEFD52" w14:textId="51F13DF9" w:rsidR="00EA182B" w:rsidRPr="00EA182B" w:rsidRDefault="00EA182B" w:rsidP="00A80313">
      <w:pPr>
        <w:pStyle w:val="ListParagraph"/>
        <w:numPr>
          <w:ilvl w:val="0"/>
          <w:numId w:val="16"/>
        </w:numPr>
        <w:rPr>
          <w:sz w:val="24"/>
          <w:szCs w:val="24"/>
        </w:rPr>
      </w:pPr>
      <w:r w:rsidRPr="00EA182B">
        <w:rPr>
          <w:sz w:val="24"/>
          <w:szCs w:val="24"/>
        </w:rPr>
        <w:t>The terms of reference for the Board include assisting the Administering Authority (London Borough of Harrow) as Scheme Manager in ensuring the effective and efficient governance and administration of the Local Government Pension Scheme</w:t>
      </w:r>
      <w:r>
        <w:rPr>
          <w:sz w:val="24"/>
          <w:szCs w:val="24"/>
        </w:rPr>
        <w: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18D669B7"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w:t>
      </w:r>
      <w:r w:rsidR="00310B8D">
        <w:t xml:space="preserve">Pension Fund </w:t>
      </w:r>
      <w:r w:rsidRPr="00690F76">
        <w:t xml:space="preserve">Committee and by the </w:t>
      </w:r>
      <w:r w:rsidR="00310B8D">
        <w:t>B</w:t>
      </w:r>
      <w:r w:rsidRPr="00690F76">
        <w:t xml:space="preserve">oard. </w:t>
      </w:r>
      <w:r>
        <w:t xml:space="preserve">The </w:t>
      </w:r>
      <w:r w:rsidR="00310B8D">
        <w:t>next</w:t>
      </w:r>
      <w:r>
        <w:t xml:space="preserve"> review </w:t>
      </w:r>
      <w:r w:rsidR="00EA182B">
        <w:t>is elsewhere on the agenda for this meeting.</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rsidRPr="0007511B">
        <w:rPr>
          <w:b/>
          <w:bCs/>
        </w:rPr>
        <w:t>No</w:t>
      </w:r>
    </w:p>
    <w:p w14:paraId="79CE73A9" w14:textId="08D2A450" w:rsidR="00180D94" w:rsidRDefault="00180D94" w:rsidP="00310B8D">
      <w:pPr>
        <w:autoSpaceDE w:val="0"/>
        <w:autoSpaceDN w:val="0"/>
        <w:adjustRightInd w:val="0"/>
        <w:spacing w:after="240"/>
        <w:ind w:left="426"/>
      </w:pPr>
      <w:r>
        <w:t>There are no direct equalities implications arising from this report.</w:t>
      </w:r>
    </w:p>
    <w:p w14:paraId="5990681E" w14:textId="77777777" w:rsidR="0007511B" w:rsidRDefault="0007511B" w:rsidP="00180D94">
      <w:pPr>
        <w:pStyle w:val="Heading2"/>
        <w:spacing w:after="240"/>
      </w:pPr>
    </w:p>
    <w:p w14:paraId="5779EA79" w14:textId="5AED3829" w:rsidR="00180D94" w:rsidRPr="00180D94" w:rsidRDefault="00180D94" w:rsidP="00180D94">
      <w:pPr>
        <w:pStyle w:val="Heading2"/>
        <w:spacing w:after="240"/>
        <w:rPr>
          <w:color w:val="000000"/>
          <w:szCs w:val="24"/>
          <w:lang w:eastAsia="en-GB"/>
        </w:rPr>
      </w:pPr>
      <w:r>
        <w:lastRenderedPageBreak/>
        <w:t xml:space="preserve">Council </w:t>
      </w:r>
      <w:r w:rsidRPr="00CD57D8">
        <w:t>Priorities</w:t>
      </w:r>
      <w:r w:rsidR="00FD31A0">
        <w:t xml:space="preserve"> </w:t>
      </w:r>
    </w:p>
    <w:p w14:paraId="0C2F27D8" w14:textId="3EC96163" w:rsidR="00FD31A0" w:rsidRPr="004A2543" w:rsidRDefault="00180D94" w:rsidP="00310B8D">
      <w:pPr>
        <w:numPr>
          <w:ilvl w:val="0"/>
          <w:numId w:val="16"/>
        </w:numPr>
        <w:autoSpaceDE w:val="0"/>
        <w:autoSpaceDN w:val="0"/>
        <w:adjustRightInd w:val="0"/>
        <w:spacing w:after="240"/>
        <w:ind w:left="426" w:hanging="426"/>
      </w:pPr>
      <w:r w:rsidRPr="00310B8D">
        <w:rPr>
          <w:szCs w:val="24"/>
          <w:lang w:val="en-US"/>
        </w:rPr>
        <w:t>The performance of the Pension Fund directly affects the level of employer contribution which then, in turn, affects the resources available for the Council’s priorities</w:t>
      </w:r>
      <w:r w:rsidR="00F22AA0" w:rsidRPr="00310B8D">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2FE3FCD" w:rsidR="00912904" w:rsidRPr="00A66326" w:rsidRDefault="00912904" w:rsidP="00912904">
      <w:pPr>
        <w:rPr>
          <w:sz w:val="28"/>
        </w:rPr>
      </w:pPr>
      <w:r w:rsidRPr="00A66326">
        <w:rPr>
          <w:b/>
          <w:sz w:val="28"/>
        </w:rPr>
        <w:t xml:space="preserve">Statutory Officer:  </w:t>
      </w:r>
      <w:r w:rsidR="007B3099">
        <w:rPr>
          <w:b/>
          <w:sz w:val="28"/>
        </w:rPr>
        <w:t>Dawn Calvert</w:t>
      </w:r>
    </w:p>
    <w:p w14:paraId="57640BD9" w14:textId="64851CBC" w:rsidR="00912904" w:rsidRDefault="00912904" w:rsidP="00310B8D">
      <w:pPr>
        <w:spacing w:after="240"/>
      </w:pPr>
      <w:r w:rsidRPr="00A66326">
        <w:t>Signed by the Chief Financial Officer</w:t>
      </w:r>
    </w:p>
    <w:p w14:paraId="5745A2E3" w14:textId="3B309CF1" w:rsidR="00912904" w:rsidRPr="00A66326" w:rsidRDefault="00912904" w:rsidP="00912904">
      <w:pPr>
        <w:spacing w:after="480"/>
        <w:rPr>
          <w:sz w:val="28"/>
        </w:rPr>
      </w:pPr>
      <w:r w:rsidRPr="00A66326">
        <w:rPr>
          <w:b/>
          <w:sz w:val="28"/>
        </w:rPr>
        <w:t xml:space="preserve">Date:  </w:t>
      </w:r>
      <w:r w:rsidR="007B3099">
        <w:rPr>
          <w:b/>
          <w:sz w:val="28"/>
        </w:rPr>
        <w:t>7/12/2021</w:t>
      </w:r>
    </w:p>
    <w:p w14:paraId="2586CC50" w14:textId="58C91E83" w:rsidR="00912904" w:rsidRPr="00A66326" w:rsidRDefault="00912904" w:rsidP="00912904">
      <w:pPr>
        <w:rPr>
          <w:sz w:val="28"/>
        </w:rPr>
      </w:pPr>
      <w:r w:rsidRPr="00A66326">
        <w:rPr>
          <w:b/>
          <w:sz w:val="28"/>
        </w:rPr>
        <w:t xml:space="preserve">Statutory Officer:  </w:t>
      </w:r>
      <w:r w:rsidR="006667A6">
        <w:rPr>
          <w:b/>
          <w:sz w:val="28"/>
        </w:rPr>
        <w:t>Sharon Clarke</w:t>
      </w:r>
    </w:p>
    <w:p w14:paraId="3F58D77A" w14:textId="60ABC8E9" w:rsidR="00912904" w:rsidRPr="00A66326" w:rsidRDefault="00912904" w:rsidP="00310B8D">
      <w:pPr>
        <w:spacing w:after="240"/>
      </w:pPr>
      <w:r w:rsidRPr="00A66326">
        <w:t>Signed on behalf of the Monitoring Officer</w:t>
      </w:r>
    </w:p>
    <w:p w14:paraId="61F8C7E6" w14:textId="5B0ADB67" w:rsidR="00912904" w:rsidRPr="003313EA" w:rsidRDefault="00912904" w:rsidP="00912904">
      <w:pPr>
        <w:spacing w:after="480"/>
        <w:rPr>
          <w:sz w:val="28"/>
        </w:rPr>
      </w:pPr>
      <w:r w:rsidRPr="00A66326">
        <w:rPr>
          <w:b/>
          <w:sz w:val="28"/>
        </w:rPr>
        <w:t xml:space="preserve">Date:  </w:t>
      </w:r>
      <w:r w:rsidR="006667A6">
        <w:rPr>
          <w:b/>
          <w:sz w:val="28"/>
        </w:rPr>
        <w:t>2/12/2021</w:t>
      </w:r>
    </w:p>
    <w:p w14:paraId="2019A53D" w14:textId="61F333B1"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7B3099">
        <w:rPr>
          <w:b/>
          <w:sz w:val="28"/>
        </w:rPr>
        <w:t>Dawn Calvert</w:t>
      </w:r>
    </w:p>
    <w:p w14:paraId="12E4D11B" w14:textId="6935CA5D" w:rsidR="00912904" w:rsidRPr="00A66326" w:rsidRDefault="00365D29" w:rsidP="00310B8D">
      <w:pPr>
        <w:spacing w:after="240"/>
      </w:pPr>
      <w:r>
        <w:t>Signed</w:t>
      </w:r>
      <w:r w:rsidR="00912904" w:rsidRPr="00A66326">
        <w:t xml:space="preserve"> </w:t>
      </w:r>
      <w:r w:rsidR="00960BF7">
        <w:t>on behalf of</w:t>
      </w:r>
      <w:r w:rsidR="00912904" w:rsidRPr="00A66326">
        <w:t xml:space="preserve"> the Corporate Director</w:t>
      </w:r>
    </w:p>
    <w:p w14:paraId="21482980" w14:textId="3B48DC72" w:rsidR="00912904" w:rsidRPr="00A66326" w:rsidRDefault="00912904" w:rsidP="00960BF7">
      <w:pPr>
        <w:tabs>
          <w:tab w:val="left" w:pos="2040"/>
        </w:tabs>
        <w:spacing w:after="480"/>
        <w:rPr>
          <w:sz w:val="28"/>
        </w:rPr>
      </w:pPr>
      <w:r w:rsidRPr="00A66326">
        <w:rPr>
          <w:b/>
          <w:sz w:val="28"/>
        </w:rPr>
        <w:t xml:space="preserve">Date:  </w:t>
      </w:r>
      <w:r w:rsidR="007B3099">
        <w:rPr>
          <w:b/>
          <w:sz w:val="28"/>
        </w:rPr>
        <w:t>7/12/2021</w:t>
      </w:r>
    </w:p>
    <w:p w14:paraId="686CE5D8" w14:textId="77777777" w:rsidR="00912904" w:rsidRPr="00435B5D" w:rsidRDefault="00912904" w:rsidP="00912904">
      <w:pPr>
        <w:pStyle w:val="Heading2"/>
        <w:spacing w:after="240"/>
      </w:pPr>
      <w:r>
        <w:t>Mandatory Checks</w:t>
      </w:r>
    </w:p>
    <w:p w14:paraId="71FBC41D" w14:textId="14DE02B4" w:rsidR="00912904" w:rsidRPr="0007511B" w:rsidRDefault="00912904" w:rsidP="00310B8D">
      <w:pPr>
        <w:pStyle w:val="Heading3"/>
        <w:spacing w:after="240"/>
        <w:ind w:left="0" w:firstLine="0"/>
        <w:rPr>
          <w:b w:val="0"/>
          <w:bCs w:val="0"/>
          <w:i/>
          <w:color w:val="FF0000"/>
          <w:szCs w:val="24"/>
        </w:rPr>
      </w:pPr>
      <w:r w:rsidRPr="00E90AFF">
        <w:rPr>
          <w:sz w:val="28"/>
        </w:rPr>
        <w:t xml:space="preserve">Ward Councillors notified:  </w:t>
      </w:r>
      <w:r w:rsidR="00180D94" w:rsidRPr="0007511B">
        <w:rPr>
          <w:b w:val="0"/>
          <w:bCs w:val="0"/>
          <w:sz w:val="28"/>
        </w:rPr>
        <w:t>Not applicable</w:t>
      </w:r>
      <w:r w:rsidRPr="0007511B">
        <w:rPr>
          <w:b w:val="0"/>
          <w:bCs w:val="0"/>
          <w:i/>
          <w:color w:val="FF0000"/>
          <w:szCs w:val="24"/>
        </w:rPr>
        <w:t xml:space="preserve"> </w:t>
      </w:r>
      <w:bookmarkStart w:id="2" w:name="_GoBack"/>
      <w:bookmarkEnd w:id="2"/>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90517"/>
    <w:multiLevelType w:val="hybridMultilevel"/>
    <w:tmpl w:val="E130A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12B"/>
    <w:multiLevelType w:val="hybridMultilevel"/>
    <w:tmpl w:val="734CAA6A"/>
    <w:lvl w:ilvl="0" w:tplc="EC9EE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04CA"/>
    <w:multiLevelType w:val="hybridMultilevel"/>
    <w:tmpl w:val="F416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B5968"/>
    <w:multiLevelType w:val="hybridMultilevel"/>
    <w:tmpl w:val="8B385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3"/>
  </w:num>
  <w:num w:numId="10">
    <w:abstractNumId w:val="17"/>
  </w:num>
  <w:num w:numId="11">
    <w:abstractNumId w:val="24"/>
  </w:num>
  <w:num w:numId="12">
    <w:abstractNumId w:val="15"/>
  </w:num>
  <w:num w:numId="13">
    <w:abstractNumId w:val="2"/>
  </w:num>
  <w:num w:numId="14">
    <w:abstractNumId w:val="7"/>
  </w:num>
  <w:num w:numId="15">
    <w:abstractNumId w:val="13"/>
  </w:num>
  <w:num w:numId="16">
    <w:abstractNumId w:val="4"/>
  </w:num>
  <w:num w:numId="17">
    <w:abstractNumId w:val="8"/>
  </w:num>
  <w:num w:numId="18">
    <w:abstractNumId w:val="22"/>
  </w:num>
  <w:num w:numId="19">
    <w:abstractNumId w:val="0"/>
  </w:num>
  <w:num w:numId="20">
    <w:abstractNumId w:val="18"/>
  </w:num>
  <w:num w:numId="21">
    <w:abstractNumId w:val="23"/>
  </w:num>
  <w:num w:numId="22">
    <w:abstractNumId w:val="10"/>
  </w:num>
  <w:num w:numId="23">
    <w:abstractNumId w:val="16"/>
  </w:num>
  <w:num w:numId="24">
    <w:abstractNumId w:val="12"/>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33A2"/>
    <w:rsid w:val="00071EB4"/>
    <w:rsid w:val="0007511B"/>
    <w:rsid w:val="00077298"/>
    <w:rsid w:val="000967C9"/>
    <w:rsid w:val="000A58A1"/>
    <w:rsid w:val="000A6659"/>
    <w:rsid w:val="000B0E6F"/>
    <w:rsid w:val="000B6DBB"/>
    <w:rsid w:val="000D2BF2"/>
    <w:rsid w:val="000D5870"/>
    <w:rsid w:val="000F65C0"/>
    <w:rsid w:val="00134D55"/>
    <w:rsid w:val="00180D94"/>
    <w:rsid w:val="00182849"/>
    <w:rsid w:val="001939BA"/>
    <w:rsid w:val="001A6EB0"/>
    <w:rsid w:val="001B1046"/>
    <w:rsid w:val="001B3228"/>
    <w:rsid w:val="001B441D"/>
    <w:rsid w:val="001C449F"/>
    <w:rsid w:val="001C5225"/>
    <w:rsid w:val="001E0219"/>
    <w:rsid w:val="00213BE7"/>
    <w:rsid w:val="00231A1D"/>
    <w:rsid w:val="00244120"/>
    <w:rsid w:val="00293F9F"/>
    <w:rsid w:val="002A2389"/>
    <w:rsid w:val="002B62F0"/>
    <w:rsid w:val="002C08E2"/>
    <w:rsid w:val="002C1794"/>
    <w:rsid w:val="002D2FC5"/>
    <w:rsid w:val="002E6637"/>
    <w:rsid w:val="002E77E3"/>
    <w:rsid w:val="002F0E81"/>
    <w:rsid w:val="003007D9"/>
    <w:rsid w:val="00310B8D"/>
    <w:rsid w:val="00332947"/>
    <w:rsid w:val="00333EB4"/>
    <w:rsid w:val="00345915"/>
    <w:rsid w:val="00365C6B"/>
    <w:rsid w:val="00365D29"/>
    <w:rsid w:val="00374F22"/>
    <w:rsid w:val="00385716"/>
    <w:rsid w:val="003D2FFE"/>
    <w:rsid w:val="003D5F0A"/>
    <w:rsid w:val="003D73DF"/>
    <w:rsid w:val="00400032"/>
    <w:rsid w:val="0042394B"/>
    <w:rsid w:val="00464CE5"/>
    <w:rsid w:val="00473B08"/>
    <w:rsid w:val="00474B5F"/>
    <w:rsid w:val="00497308"/>
    <w:rsid w:val="004A3CE6"/>
    <w:rsid w:val="004A4A1D"/>
    <w:rsid w:val="004B2C9D"/>
    <w:rsid w:val="004B4A47"/>
    <w:rsid w:val="004E667D"/>
    <w:rsid w:val="004E6AF9"/>
    <w:rsid w:val="005031DF"/>
    <w:rsid w:val="00534BAA"/>
    <w:rsid w:val="00597314"/>
    <w:rsid w:val="005A61AF"/>
    <w:rsid w:val="005D0886"/>
    <w:rsid w:val="005E384D"/>
    <w:rsid w:val="005E6176"/>
    <w:rsid w:val="005F2181"/>
    <w:rsid w:val="005F61BC"/>
    <w:rsid w:val="005F724B"/>
    <w:rsid w:val="00606705"/>
    <w:rsid w:val="00621EA4"/>
    <w:rsid w:val="00625DFF"/>
    <w:rsid w:val="0063072B"/>
    <w:rsid w:val="00662891"/>
    <w:rsid w:val="006628B7"/>
    <w:rsid w:val="006667A6"/>
    <w:rsid w:val="00675FCB"/>
    <w:rsid w:val="006A0B87"/>
    <w:rsid w:val="006B3942"/>
    <w:rsid w:val="006B7DC6"/>
    <w:rsid w:val="006C3914"/>
    <w:rsid w:val="006C4D4C"/>
    <w:rsid w:val="006D3648"/>
    <w:rsid w:val="006D6B23"/>
    <w:rsid w:val="006F6D50"/>
    <w:rsid w:val="00702F85"/>
    <w:rsid w:val="00717E8A"/>
    <w:rsid w:val="0074184E"/>
    <w:rsid w:val="00743829"/>
    <w:rsid w:val="00755F8D"/>
    <w:rsid w:val="007808A7"/>
    <w:rsid w:val="007855AE"/>
    <w:rsid w:val="00791A90"/>
    <w:rsid w:val="00796503"/>
    <w:rsid w:val="007B0CB6"/>
    <w:rsid w:val="007B3099"/>
    <w:rsid w:val="007B4F2C"/>
    <w:rsid w:val="007D2BDA"/>
    <w:rsid w:val="007D56C8"/>
    <w:rsid w:val="007E3934"/>
    <w:rsid w:val="007E7303"/>
    <w:rsid w:val="008212A0"/>
    <w:rsid w:val="008306D5"/>
    <w:rsid w:val="00837F53"/>
    <w:rsid w:val="00862DDC"/>
    <w:rsid w:val="00871B32"/>
    <w:rsid w:val="008D1750"/>
    <w:rsid w:val="008D7800"/>
    <w:rsid w:val="008E2910"/>
    <w:rsid w:val="008E4913"/>
    <w:rsid w:val="00900464"/>
    <w:rsid w:val="0090100E"/>
    <w:rsid w:val="00912904"/>
    <w:rsid w:val="00922249"/>
    <w:rsid w:val="0093767E"/>
    <w:rsid w:val="00960BF7"/>
    <w:rsid w:val="00964ADC"/>
    <w:rsid w:val="00972A02"/>
    <w:rsid w:val="0099517C"/>
    <w:rsid w:val="009A0937"/>
    <w:rsid w:val="009B2ECD"/>
    <w:rsid w:val="009B7914"/>
    <w:rsid w:val="009F430B"/>
    <w:rsid w:val="00A00E2B"/>
    <w:rsid w:val="00A160B2"/>
    <w:rsid w:val="00A16271"/>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CF1C4A"/>
    <w:rsid w:val="00D05750"/>
    <w:rsid w:val="00D25064"/>
    <w:rsid w:val="00D32B51"/>
    <w:rsid w:val="00D34668"/>
    <w:rsid w:val="00D3740E"/>
    <w:rsid w:val="00D40335"/>
    <w:rsid w:val="00D51303"/>
    <w:rsid w:val="00D54D7D"/>
    <w:rsid w:val="00D56DE2"/>
    <w:rsid w:val="00D82F57"/>
    <w:rsid w:val="00D841A5"/>
    <w:rsid w:val="00D914D2"/>
    <w:rsid w:val="00D92107"/>
    <w:rsid w:val="00DA25DB"/>
    <w:rsid w:val="00DB0791"/>
    <w:rsid w:val="00DB1C98"/>
    <w:rsid w:val="00DD4251"/>
    <w:rsid w:val="00E02B50"/>
    <w:rsid w:val="00E03F11"/>
    <w:rsid w:val="00E06DC8"/>
    <w:rsid w:val="00E16F4A"/>
    <w:rsid w:val="00E220B5"/>
    <w:rsid w:val="00E2344F"/>
    <w:rsid w:val="00E33D93"/>
    <w:rsid w:val="00E609EF"/>
    <w:rsid w:val="00E8111D"/>
    <w:rsid w:val="00E8515B"/>
    <w:rsid w:val="00E90AFF"/>
    <w:rsid w:val="00EA0AE0"/>
    <w:rsid w:val="00EA182B"/>
    <w:rsid w:val="00EC70CD"/>
    <w:rsid w:val="00EF2F91"/>
    <w:rsid w:val="00F136E9"/>
    <w:rsid w:val="00F22AA0"/>
    <w:rsid w:val="00F33EE3"/>
    <w:rsid w:val="00F4213B"/>
    <w:rsid w:val="00F44423"/>
    <w:rsid w:val="00F806B8"/>
    <w:rsid w:val="00F849ED"/>
    <w:rsid w:val="00F92398"/>
    <w:rsid w:val="00FD31A0"/>
    <w:rsid w:val="00FF2B1A"/>
    <w:rsid w:val="00FF677E"/>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10</cp:revision>
  <cp:lastPrinted>2007-07-12T09:53:00Z</cp:lastPrinted>
  <dcterms:created xsi:type="dcterms:W3CDTF">2021-12-02T12:26:00Z</dcterms:created>
  <dcterms:modified xsi:type="dcterms:W3CDTF">2021-12-07T11:30:00Z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